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7" w:rsidRPr="006B7AB2" w:rsidRDefault="00392467" w:rsidP="006B7AB2">
      <w:pPr>
        <w:spacing w:after="0" w:line="240" w:lineRule="auto"/>
        <w:ind w:left="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B2">
        <w:rPr>
          <w:rFonts w:ascii="Times New Roman" w:hAnsi="Times New Roman" w:cs="Times New Roman"/>
          <w:b/>
          <w:sz w:val="28"/>
          <w:szCs w:val="28"/>
        </w:rPr>
        <w:t>Перечень экзаменационных вопросов</w:t>
      </w:r>
    </w:p>
    <w:p w:rsidR="00401C86" w:rsidRPr="006B7AB2" w:rsidRDefault="00401C86" w:rsidP="006B7AB2">
      <w:pPr>
        <w:pStyle w:val="a5"/>
        <w:tabs>
          <w:tab w:val="num" w:pos="360"/>
        </w:tabs>
        <w:ind w:left="567" w:right="-142"/>
        <w:jc w:val="center"/>
        <w:rPr>
          <w:color w:val="000000"/>
          <w:szCs w:val="28"/>
        </w:rPr>
      </w:pPr>
      <w:r w:rsidRPr="006B7AB2">
        <w:rPr>
          <w:color w:val="000000"/>
          <w:szCs w:val="28"/>
        </w:rPr>
        <w:t xml:space="preserve">по дисциплине Госпитальная терапия </w:t>
      </w:r>
    </w:p>
    <w:p w:rsidR="00401C86" w:rsidRPr="006B7AB2" w:rsidRDefault="00401C86" w:rsidP="006B7AB2">
      <w:pPr>
        <w:pStyle w:val="a5"/>
        <w:tabs>
          <w:tab w:val="num" w:pos="360"/>
        </w:tabs>
        <w:ind w:left="567" w:right="-142"/>
        <w:jc w:val="center"/>
        <w:rPr>
          <w:color w:val="000000"/>
          <w:szCs w:val="28"/>
        </w:rPr>
      </w:pPr>
      <w:r w:rsidRPr="006B7AB2">
        <w:rPr>
          <w:color w:val="000000"/>
          <w:szCs w:val="28"/>
        </w:rPr>
        <w:t>специальность 31.05.02 Педиатрия</w:t>
      </w:r>
    </w:p>
    <w:p w:rsidR="00916851" w:rsidRPr="00664C7A" w:rsidRDefault="00916851" w:rsidP="00392467">
      <w:pPr>
        <w:ind w:left="567" w:right="-144"/>
        <w:jc w:val="center"/>
        <w:rPr>
          <w:b/>
          <w:sz w:val="24"/>
          <w:szCs w:val="24"/>
        </w:rPr>
      </w:pP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Отечественные школы терапевтов.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Методология клинического диагноза.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sz w:val="24"/>
          <w:szCs w:val="24"/>
        </w:rPr>
        <w:t>Современные методы диагностики клинического, лабораторного, инструментального обследования (включая эндоскопические, рентгенологические, морфологические, ультразвуковые методы).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Приобретенные пороки сердца у взрослых. Этиология, классификация, гемодинамика.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Приобретенные пороки сердца у взрослых.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Митральные пороки сердца. </w:t>
      </w:r>
      <w:r w:rsidRPr="006B7AB2">
        <w:rPr>
          <w:rFonts w:ascii="Times New Roman" w:hAnsi="Times New Roman" w:cs="Times New Roman"/>
          <w:iCs/>
          <w:spacing w:val="5"/>
          <w:sz w:val="24"/>
          <w:szCs w:val="24"/>
        </w:rPr>
        <w:t>Патогенез, гемодинамика,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Аортальные пороки сердца. П</w:t>
      </w:r>
      <w:r w:rsidRPr="006B7AB2">
        <w:rPr>
          <w:rFonts w:ascii="Times New Roman" w:hAnsi="Times New Roman" w:cs="Times New Roman"/>
          <w:iCs/>
          <w:spacing w:val="5"/>
          <w:sz w:val="24"/>
          <w:szCs w:val="24"/>
        </w:rPr>
        <w:t>атогенез, гемодинамика,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Коарктация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аорты. Симптоматология, диагностика, показания к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хирургическому лечению.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Дефект </w:t>
      </w:r>
      <w:proofErr w:type="spellStart"/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>межпредсердной</w:t>
      </w:r>
      <w:proofErr w:type="spellEnd"/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перегородки. Симптоматология, стадии,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показания к хирургическому лечению.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Дефект межжелудочковой перегородки. Симптоматология, стадии,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показания к хирургическому лечению.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Врожденные пороки сердца «синего типа». </w:t>
      </w:r>
      <w:proofErr w:type="gram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Этиология, патогенез, гемодинамика, клиническая картина, методы диагностики, лечение, методы хирургической коррекции.</w:t>
      </w:r>
      <w:proofErr w:type="gramEnd"/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Врожденные пороки сердца «красного типа». </w:t>
      </w:r>
      <w:proofErr w:type="gram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Этиология, патогенез, гемодинамика, клиническая картина, методы диагностики, лечение, методы хирургической коррекции.</w:t>
      </w:r>
      <w:proofErr w:type="gramEnd"/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Симптоматические артериальные гипертензии. Классификация, схема </w:t>
      </w:r>
      <w:r w:rsidRPr="006B7AB2">
        <w:rPr>
          <w:rFonts w:ascii="Times New Roman" w:hAnsi="Times New Roman" w:cs="Times New Roman"/>
          <w:iCs/>
          <w:spacing w:val="-5"/>
          <w:sz w:val="24"/>
          <w:szCs w:val="24"/>
        </w:rPr>
        <w:t>обследования.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Почечная артериальная гипертензия. Этиология,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Эндокринные артериальные гипертензии (синдром и болезнь </w:t>
      </w:r>
      <w:proofErr w:type="spellStart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>Кушинга</w:t>
      </w:r>
      <w:proofErr w:type="spellEnd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,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феохромоцитома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альдостерома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).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Методы лабораторной и инструментальной диагностики в кардиологии.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ИБС. Классификация. Патогенез. Теории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атерогенеза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ИБС. Нестабильная стенокардия. Классификация,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ИБС. Стабильная стенокардия. Классификация,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ИБС. Инфаркт миокарда. Классификация, клиника, диагностика.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ИБС. Инфаркт миокарда.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23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ИБС. Инфаркт миокарда. Осложнения: клиника, диагностика, лечение, профилактика.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Функциональные расстройства двигательной и секреторной функции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желудка. Патогенез,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Хронический </w:t>
      </w: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гиперацидный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гастрит. Этиология, патогенез, классификация, клиника,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Хронический атрофический гастрит. Этиология, патогенез, классификация, клиника,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sz w:val="24"/>
          <w:szCs w:val="24"/>
        </w:rPr>
        <w:t xml:space="preserve">Язвенная болезнь. Этиология,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патогенез, классификация.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sz w:val="24"/>
          <w:szCs w:val="24"/>
        </w:rPr>
        <w:t>Язвенная болезнь.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Клиника,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Язвенная болезнь. Осложнения.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Методы диагностики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  <w:lang w:val="en-US"/>
        </w:rPr>
        <w:t>Helicobacter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  <w:lang w:val="en-US"/>
        </w:rPr>
        <w:t>pylori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Симптоматические язвы желудка и двенадцатиперстной кишки, </w:t>
      </w:r>
      <w:proofErr w:type="spellStart"/>
      <w:r w:rsidRPr="006B7AB2">
        <w:rPr>
          <w:rFonts w:ascii="Times New Roman" w:hAnsi="Times New Roman" w:cs="Times New Roman"/>
          <w:iCs/>
          <w:spacing w:val="-4"/>
          <w:sz w:val="24"/>
          <w:szCs w:val="24"/>
        </w:rPr>
        <w:t>этиопатогенез</w:t>
      </w:r>
      <w:proofErr w:type="spellEnd"/>
      <w:r w:rsidRPr="006B7AB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клиника, диагностика, дифференциальный диагноз, осложнения, лечение,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профилактика.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Болезнь оперированного желудка, патогенез, клиника, классификация, </w:t>
      </w:r>
      <w:r w:rsidRPr="006B7AB2">
        <w:rPr>
          <w:rFonts w:ascii="Times New Roman" w:hAnsi="Times New Roman" w:cs="Times New Roman"/>
          <w:iCs/>
          <w:spacing w:val="-4"/>
          <w:sz w:val="24"/>
          <w:szCs w:val="24"/>
        </w:rPr>
        <w:t>осложнения,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Хронический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пиелонефрит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, этиология, патогенез, классификация.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lastRenderedPageBreak/>
        <w:t>Хронический</w:t>
      </w:r>
      <w:proofErr w:type="gram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пиелонефрит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, клиника, методы исследования,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6B7AB2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6B7AB2">
        <w:rPr>
          <w:rFonts w:ascii="Times New Roman" w:hAnsi="Times New Roman" w:cs="Times New Roman"/>
          <w:sz w:val="24"/>
          <w:szCs w:val="24"/>
        </w:rPr>
        <w:t xml:space="preserve">. </w:t>
      </w:r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>этиология, патогенез, классификация.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AB2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6B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B2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6B7AB2">
        <w:rPr>
          <w:rFonts w:ascii="Times New Roman" w:hAnsi="Times New Roman" w:cs="Times New Roman"/>
          <w:sz w:val="24"/>
          <w:szCs w:val="24"/>
        </w:rPr>
        <w:t xml:space="preserve">. </w:t>
      </w:r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клиника, </w:t>
      </w:r>
      <w:r w:rsidRPr="006B7AB2">
        <w:rPr>
          <w:rFonts w:ascii="Times New Roman" w:hAnsi="Times New Roman" w:cs="Times New Roman"/>
          <w:iCs/>
          <w:spacing w:val="-4"/>
          <w:sz w:val="24"/>
          <w:szCs w:val="24"/>
        </w:rPr>
        <w:t>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Хроническая почечная недостаточность, механизм развития,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клиника, стадии.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Хроническая почечная недостаточность,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синдромы,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before="5"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6B7AB2">
        <w:rPr>
          <w:rFonts w:ascii="Times New Roman" w:hAnsi="Times New Roman" w:cs="Times New Roman"/>
          <w:sz w:val="24"/>
          <w:szCs w:val="24"/>
        </w:rPr>
        <w:t>Заместительная почечная терапия.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540"/>
          <w:tab w:val="left" w:pos="993"/>
        </w:tabs>
        <w:autoSpaceDE w:val="0"/>
        <w:autoSpaceDN w:val="0"/>
        <w:adjustRightInd w:val="0"/>
        <w:spacing w:before="5"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Мегалобластные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анемии, В12 фолиево-дефицитные анемии, этиология,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патогенез, клиника. 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56"/>
          <w:tab w:val="left" w:pos="540"/>
          <w:tab w:val="left" w:pos="993"/>
        </w:tabs>
        <w:autoSpaceDE w:val="0"/>
        <w:autoSpaceDN w:val="0"/>
        <w:adjustRightInd w:val="0"/>
        <w:spacing w:before="5"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Мегалобластные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анемии, В12 фолиево-дефицитные анемии,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диагностика, лечение, диспансеризация.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46"/>
          <w:tab w:val="left" w:pos="540"/>
          <w:tab w:val="left" w:pos="993"/>
        </w:tabs>
        <w:autoSpaceDE w:val="0"/>
        <w:autoSpaceDN w:val="0"/>
        <w:adjustRightInd w:val="0"/>
        <w:spacing w:before="5"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Гемолитические анемии, этиология, механизм развития, классификация,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общие признаки, методы диагностики.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46"/>
          <w:tab w:val="left" w:pos="540"/>
          <w:tab w:val="left" w:pos="993"/>
        </w:tabs>
        <w:autoSpaceDE w:val="0"/>
        <w:autoSpaceDN w:val="0"/>
        <w:adjustRightInd w:val="0"/>
        <w:spacing w:before="5"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Аутоиммунные гемолитические анемии, гемоглобинурия, диагностика,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лечение, показания к </w:t>
      </w: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иммуносупрессивной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терапии.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46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Гип</w:t>
      </w:r>
      <w:proofErr w:type="gramStart"/>
      <w:r w:rsidRPr="006B7AB2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апластические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анемии, этиология, патогенез, клиника. 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46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Гип</w:t>
      </w:r>
      <w:proofErr w:type="gramStart"/>
      <w:r w:rsidRPr="006B7AB2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апластические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анемии, критерии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диагноза, лечение, возможность трансплантации стволовых клеток.</w:t>
      </w:r>
    </w:p>
    <w:p w:rsidR="00392467" w:rsidRPr="006B7AB2" w:rsidRDefault="00392467" w:rsidP="006B7AB2">
      <w:pPr>
        <w:numPr>
          <w:ilvl w:val="0"/>
          <w:numId w:val="1"/>
        </w:numPr>
        <w:shd w:val="clear" w:color="auto" w:fill="FFFFFF"/>
        <w:tabs>
          <w:tab w:val="num" w:pos="360"/>
          <w:tab w:val="left" w:pos="540"/>
          <w:tab w:val="left" w:pos="993"/>
        </w:tabs>
        <w:spacing w:before="5"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2"/>
          <w:sz w:val="24"/>
          <w:szCs w:val="24"/>
        </w:rPr>
        <w:t>Острые лейкозы, этиология, патогенез, классификация, лабораторно-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морфологическая, цитохимическая и </w:t>
      </w: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иммунофенотипичекая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диагностика.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18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Клинические синдромы острого лейкоза, осложнения, принципы терапии, профилактика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нейролейкемии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, диспансеризация.</w:t>
      </w:r>
    </w:p>
    <w:p w:rsidR="00392467" w:rsidRPr="006B7AB2" w:rsidRDefault="00392467" w:rsidP="006B7AB2">
      <w:pPr>
        <w:numPr>
          <w:ilvl w:val="0"/>
          <w:numId w:val="1"/>
        </w:numPr>
        <w:shd w:val="clear" w:color="auto" w:fill="FFFFFF"/>
        <w:tabs>
          <w:tab w:val="num" w:pos="360"/>
          <w:tab w:val="left" w:pos="540"/>
          <w:tab w:val="left" w:pos="566"/>
          <w:tab w:val="left" w:pos="993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Агранулоцитозы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клинико-лабораторная диагностика </w:t>
      </w: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агранулоцитоза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(миелотоксического и аутоиммунного), клиническая картина, лечение.</w:t>
      </w:r>
    </w:p>
    <w:p w:rsidR="00392467" w:rsidRPr="006B7AB2" w:rsidRDefault="00392467" w:rsidP="006B7AB2">
      <w:pPr>
        <w:numPr>
          <w:ilvl w:val="0"/>
          <w:numId w:val="1"/>
        </w:numPr>
        <w:shd w:val="clear" w:color="auto" w:fill="FFFFFF"/>
        <w:tabs>
          <w:tab w:val="left" w:pos="413"/>
          <w:tab w:val="left" w:pos="540"/>
          <w:tab w:val="left" w:pos="993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ЖДА, этиология, патогенез, классификация.</w:t>
      </w:r>
    </w:p>
    <w:p w:rsidR="00392467" w:rsidRPr="006B7AB2" w:rsidRDefault="00392467" w:rsidP="006B7AB2">
      <w:pPr>
        <w:numPr>
          <w:ilvl w:val="0"/>
          <w:numId w:val="1"/>
        </w:numPr>
        <w:shd w:val="clear" w:color="auto" w:fill="FFFFFF"/>
        <w:tabs>
          <w:tab w:val="left" w:pos="413"/>
          <w:tab w:val="left" w:pos="540"/>
          <w:tab w:val="left" w:pos="993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ЖДА, клиническая картина,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7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1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Современные учения о кроветворении, регуляция кроветворения.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7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4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Механизмы гемостаза, методы исследования.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7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Лейкемоидные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реакции, этиология, клиника,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Хронический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лимфолейкоз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>этиология, патогенез, классификация.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gram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Хронический</w:t>
      </w:r>
      <w:proofErr w:type="gram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лимфолейкоз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,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Хронический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миелолейкоз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,</w:t>
      </w:r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этиология, патогенез, классификация.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gram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Хронический</w:t>
      </w:r>
      <w:proofErr w:type="gram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миелолейкоз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,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клиника,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Клинические синдромы острого лейкоза, осложнения, принципы терапии, профилактика </w:t>
      </w: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нейролейкемии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Методы диагностики в гематологии.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Деформирующий </w:t>
      </w:r>
      <w:proofErr w:type="spellStart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>остеоартроз</w:t>
      </w:r>
      <w:proofErr w:type="spellEnd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>, этиология, патогенез, клиника.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proofErr w:type="gramStart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>Деформирующий</w:t>
      </w:r>
      <w:proofErr w:type="gramEnd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>остеоартроз</w:t>
      </w:r>
      <w:proofErr w:type="spellEnd"/>
      <w:r w:rsidRPr="006B7AB2">
        <w:rPr>
          <w:rFonts w:ascii="Times New Roman" w:hAnsi="Times New Roman" w:cs="Times New Roman"/>
          <w:iCs/>
          <w:spacing w:val="1"/>
          <w:sz w:val="24"/>
          <w:szCs w:val="24"/>
        </w:rPr>
        <w:t xml:space="preserve">. формы и 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стадии, лечение, показания к ортопедическому лечению.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Подагра, </w:t>
      </w: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этиопатогенез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клиника. 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Подагра,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Анкилозирующий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спондилит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этиопатогенез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, клиника.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Анкилозирующий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спондилит</w:t>
      </w:r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, диагностика, лечение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>Ревматоидный</w:t>
      </w:r>
      <w:proofErr w:type="spellEnd"/>
      <w:r w:rsidRPr="006B7A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артрит, этиология, патогенез, классификация.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z w:val="24"/>
          <w:szCs w:val="24"/>
        </w:rPr>
        <w:t>Ревматоидный</w:t>
      </w:r>
      <w:proofErr w:type="spellEnd"/>
      <w:r w:rsidRPr="006B7AB2">
        <w:rPr>
          <w:rFonts w:ascii="Times New Roman" w:hAnsi="Times New Roman" w:cs="Times New Roman"/>
          <w:iCs/>
          <w:sz w:val="24"/>
          <w:szCs w:val="24"/>
        </w:rPr>
        <w:t xml:space="preserve"> артрит, клиника, диагностические критерии, лечение, </w:t>
      </w: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виды хирургического лечения, показания к нему.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ХОБЛ. Этиология, патогенез, клиника.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ХОБЛ.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Бронхиальная астма. Этиология, классификация, патогенез. 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Бронхиальная астма. Клиника, диагностика.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Бронхиальная астма. Лечение. 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z w:val="24"/>
          <w:szCs w:val="24"/>
        </w:rPr>
        <w:t>Астматический статус: критерии диагностики, лечение, профилактика.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z w:val="24"/>
          <w:szCs w:val="24"/>
        </w:rPr>
        <w:t>Бронхиальная астма: критерии уровней контроля. Лечение обострений заболевания.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lastRenderedPageBreak/>
        <w:t>Методы диагностики в пульмонологической практике.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proofErr w:type="spellStart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Бронхолитическая</w:t>
      </w:r>
      <w:proofErr w:type="spellEnd"/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терапия. Классификация препаратов, механизм действия, показания, противопоказания, побочные эффекты.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Пневмония. Факторы риска, этиология, патогенез.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Пневмония. Клиника, диагностика.</w:t>
      </w:r>
    </w:p>
    <w:p w:rsidR="00392467" w:rsidRPr="006B7AB2" w:rsidRDefault="00392467" w:rsidP="006B7A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40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6B7AB2">
        <w:rPr>
          <w:rFonts w:ascii="Times New Roman" w:eastAsia="MS Mincho" w:hAnsi="Times New Roman"/>
          <w:sz w:val="24"/>
          <w:szCs w:val="24"/>
        </w:rPr>
        <w:t xml:space="preserve">Пневмонии: особенности клинического течения в зависимости от вида возбудителя, критерии диагностики. Лечение. </w:t>
      </w:r>
    </w:p>
    <w:p w:rsidR="00392467" w:rsidRPr="006B7AB2" w:rsidRDefault="00392467" w:rsidP="006B7AB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40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6B7AB2">
        <w:rPr>
          <w:rFonts w:ascii="Times New Roman" w:eastAsia="MS Mincho" w:hAnsi="Times New Roman"/>
          <w:sz w:val="24"/>
          <w:szCs w:val="24"/>
        </w:rPr>
        <w:t>Пневмония. Осложнения, факторы риска, диагностика, лечение.</w:t>
      </w:r>
    </w:p>
    <w:p w:rsidR="00392467" w:rsidRPr="006B7AB2" w:rsidRDefault="00392467" w:rsidP="006B7AB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6B7AB2">
        <w:rPr>
          <w:rFonts w:ascii="Times New Roman" w:hAnsi="Times New Roman" w:cs="Times New Roman"/>
          <w:iCs/>
          <w:spacing w:val="-3"/>
          <w:sz w:val="24"/>
          <w:szCs w:val="24"/>
        </w:rPr>
        <w:t>Пневмония. Лечение. Осложнения антибактериальной терапии.</w:t>
      </w:r>
    </w:p>
    <w:p w:rsidR="0099203C" w:rsidRPr="006B7AB2" w:rsidRDefault="0099203C" w:rsidP="006B7AB2">
      <w:pPr>
        <w:rPr>
          <w:rFonts w:ascii="Times New Roman" w:hAnsi="Times New Roman" w:cs="Times New Roman"/>
          <w:sz w:val="24"/>
          <w:szCs w:val="24"/>
        </w:rPr>
      </w:pPr>
    </w:p>
    <w:sectPr w:rsidR="0099203C" w:rsidRPr="006B7AB2" w:rsidSect="009F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FDA"/>
    <w:multiLevelType w:val="hybridMultilevel"/>
    <w:tmpl w:val="89227202"/>
    <w:lvl w:ilvl="0" w:tplc="F4620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467"/>
    <w:rsid w:val="00392467"/>
    <w:rsid w:val="00401C86"/>
    <w:rsid w:val="005A2565"/>
    <w:rsid w:val="006B7AB2"/>
    <w:rsid w:val="00916851"/>
    <w:rsid w:val="0099203C"/>
    <w:rsid w:val="009F0E5A"/>
    <w:rsid w:val="00E26CCB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924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92467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401C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1C8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2019-04-25T04:47:00Z</dcterms:created>
  <dcterms:modified xsi:type="dcterms:W3CDTF">2019-04-25T07:27:00Z</dcterms:modified>
</cp:coreProperties>
</file>