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01" w:rsidRPr="000D07EE" w:rsidRDefault="00181001" w:rsidP="00181001">
      <w:pPr>
        <w:pStyle w:val="a3"/>
        <w:suppressAutoHyphens/>
        <w:spacing w:after="120"/>
        <w:ind w:right="23" w:firstLine="709"/>
        <w:jc w:val="center"/>
        <w:rPr>
          <w:rFonts w:ascii="Times New Roman" w:eastAsia="MS Mincho" w:hAnsi="Times New Roman"/>
          <w:b/>
          <w:sz w:val="23"/>
          <w:szCs w:val="23"/>
        </w:rPr>
      </w:pPr>
      <w:r w:rsidRPr="000D07EE">
        <w:rPr>
          <w:rFonts w:ascii="Times New Roman" w:eastAsia="MS Mincho" w:hAnsi="Times New Roman"/>
          <w:b/>
          <w:sz w:val="23"/>
          <w:szCs w:val="23"/>
        </w:rPr>
        <w:t>Правила оформления статьи</w:t>
      </w:r>
    </w:p>
    <w:p w:rsidR="00181001" w:rsidRPr="000D07EE" w:rsidRDefault="00181001" w:rsidP="00181001">
      <w:pPr>
        <w:pStyle w:val="a3"/>
        <w:suppressAutoHyphens/>
        <w:ind w:right="23" w:firstLine="567"/>
        <w:jc w:val="both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>- объем статьи 1-2 (желательно полных) страниц, включая рисунки и таблицы. Вторая страница статьи должна быть заполнена не менее чем на 2/3 объёма;</w:t>
      </w:r>
    </w:p>
    <w:p w:rsidR="00181001" w:rsidRPr="000D07EE" w:rsidRDefault="00181001" w:rsidP="00181001">
      <w:pPr>
        <w:pStyle w:val="a3"/>
        <w:suppressAutoHyphens/>
        <w:ind w:right="23" w:firstLine="567"/>
        <w:jc w:val="both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>- ВАЖНО: статьи должны содержать результаты оригинальных теоретических и экспериментальных исследований, заимствованные фрагменты или утверждения должны быть оформлены с обязательным указанием автора и первоисточника;</w:t>
      </w:r>
    </w:p>
    <w:p w:rsidR="00181001" w:rsidRPr="000D07EE" w:rsidRDefault="00181001" w:rsidP="00181001">
      <w:pPr>
        <w:pStyle w:val="a3"/>
        <w:suppressAutoHyphens/>
        <w:ind w:right="23" w:firstLine="567"/>
        <w:jc w:val="both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 xml:space="preserve">- набор текста осуществляется в редакторе </w:t>
      </w:r>
      <w:r w:rsidRPr="000D07EE">
        <w:rPr>
          <w:rFonts w:ascii="Times New Roman" w:eastAsia="MS Mincho" w:hAnsi="Times New Roman"/>
          <w:sz w:val="23"/>
          <w:szCs w:val="23"/>
          <w:lang w:val="en-US"/>
        </w:rPr>
        <w:t>M</w:t>
      </w:r>
      <w:proofErr w:type="spellStart"/>
      <w:r w:rsidRPr="000D07EE">
        <w:rPr>
          <w:rFonts w:ascii="Times New Roman" w:eastAsia="MS Mincho" w:hAnsi="Times New Roman"/>
          <w:sz w:val="23"/>
          <w:szCs w:val="23"/>
        </w:rPr>
        <w:t>icrosoft</w:t>
      </w:r>
      <w:proofErr w:type="spellEnd"/>
      <w:r w:rsidRPr="000D07EE">
        <w:rPr>
          <w:rFonts w:ascii="Times New Roman" w:eastAsia="MS Mincho" w:hAnsi="Times New Roman"/>
          <w:sz w:val="23"/>
          <w:szCs w:val="23"/>
        </w:rPr>
        <w:t xml:space="preserve"> </w:t>
      </w:r>
      <w:proofErr w:type="spellStart"/>
      <w:r w:rsidRPr="000D07EE">
        <w:rPr>
          <w:rFonts w:ascii="Times New Roman" w:eastAsia="MS Mincho" w:hAnsi="Times New Roman"/>
          <w:sz w:val="23"/>
          <w:szCs w:val="23"/>
        </w:rPr>
        <w:t>Word</w:t>
      </w:r>
      <w:proofErr w:type="spellEnd"/>
      <w:r w:rsidRPr="000D07EE">
        <w:rPr>
          <w:rFonts w:ascii="Times New Roman" w:eastAsia="MS Mincho" w:hAnsi="Times New Roman"/>
          <w:sz w:val="23"/>
          <w:szCs w:val="23"/>
        </w:rPr>
        <w:t xml:space="preserve"> </w:t>
      </w:r>
      <w:r w:rsidRPr="000D07EE">
        <w:rPr>
          <w:rFonts w:ascii="Times New Roman" w:eastAsia="MS Mincho" w:hAnsi="Times New Roman"/>
          <w:sz w:val="23"/>
          <w:szCs w:val="23"/>
          <w:lang w:val="en-US"/>
        </w:rPr>
        <w:t>c</w:t>
      </w:r>
      <w:r w:rsidRPr="000D07EE">
        <w:rPr>
          <w:rFonts w:ascii="Times New Roman" w:eastAsia="MS Mincho" w:hAnsi="Times New Roman"/>
          <w:sz w:val="23"/>
          <w:szCs w:val="23"/>
        </w:rPr>
        <w:t xml:space="preserve"> использованием версии не ранее 2003 г.; </w:t>
      </w:r>
    </w:p>
    <w:p w:rsidR="00181001" w:rsidRPr="000D07EE" w:rsidRDefault="00181001" w:rsidP="00181001">
      <w:pPr>
        <w:pStyle w:val="a3"/>
        <w:suppressAutoHyphens/>
        <w:ind w:right="23" w:firstLine="567"/>
        <w:jc w:val="both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 xml:space="preserve">- формат бумаги А4; поля: сверху – 2,5 см, слева, справа, снизу – 2 см; шрифт </w:t>
      </w:r>
      <w:r w:rsidRPr="000D07EE">
        <w:rPr>
          <w:rFonts w:ascii="Times New Roman" w:eastAsia="MS Mincho" w:hAnsi="Times New Roman"/>
          <w:sz w:val="23"/>
          <w:szCs w:val="23"/>
          <w:lang w:val="en-US"/>
        </w:rPr>
        <w:t>Times</w:t>
      </w:r>
      <w:r w:rsidRPr="000D07EE">
        <w:rPr>
          <w:rFonts w:ascii="Times New Roman" w:eastAsia="MS Mincho" w:hAnsi="Times New Roman"/>
          <w:sz w:val="23"/>
          <w:szCs w:val="23"/>
        </w:rPr>
        <w:t xml:space="preserve"> </w:t>
      </w:r>
      <w:r w:rsidRPr="000D07EE">
        <w:rPr>
          <w:rFonts w:ascii="Times New Roman" w:eastAsia="MS Mincho" w:hAnsi="Times New Roman"/>
          <w:sz w:val="23"/>
          <w:szCs w:val="23"/>
          <w:lang w:val="en-US"/>
        </w:rPr>
        <w:t>New</w:t>
      </w:r>
      <w:r w:rsidRPr="000D07EE">
        <w:rPr>
          <w:rFonts w:ascii="Times New Roman" w:eastAsia="MS Mincho" w:hAnsi="Times New Roman"/>
          <w:sz w:val="23"/>
          <w:szCs w:val="23"/>
        </w:rPr>
        <w:t xml:space="preserve"> </w:t>
      </w:r>
      <w:r w:rsidRPr="000D07EE">
        <w:rPr>
          <w:rFonts w:ascii="Times New Roman" w:eastAsia="MS Mincho" w:hAnsi="Times New Roman"/>
          <w:sz w:val="23"/>
          <w:szCs w:val="23"/>
          <w:lang w:val="en-US"/>
        </w:rPr>
        <w:t>Roman</w:t>
      </w:r>
      <w:r w:rsidRPr="000D07EE">
        <w:rPr>
          <w:rFonts w:ascii="Times New Roman" w:eastAsia="MS Mincho" w:hAnsi="Times New Roman"/>
          <w:sz w:val="23"/>
          <w:szCs w:val="23"/>
        </w:rPr>
        <w:t>; размер (кегль) – 12; интервал - 1,0; выравнивание – по ширине, автоматическая расстановка переносов;</w:t>
      </w:r>
    </w:p>
    <w:p w:rsidR="00181001" w:rsidRPr="000D07EE" w:rsidRDefault="00181001" w:rsidP="00181001">
      <w:pPr>
        <w:pStyle w:val="a3"/>
        <w:suppressAutoHyphens/>
        <w:ind w:right="23" w:firstLine="567"/>
        <w:jc w:val="both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 xml:space="preserve">- рисунки выполняются размерами не менее 60х60 мм и не более 110х170 мм, расширение не менее 300 </w:t>
      </w:r>
      <w:proofErr w:type="spellStart"/>
      <w:r w:rsidRPr="000D07EE">
        <w:rPr>
          <w:rFonts w:ascii="Times New Roman" w:eastAsia="MS Mincho" w:hAnsi="Times New Roman"/>
          <w:sz w:val="23"/>
          <w:szCs w:val="23"/>
        </w:rPr>
        <w:t>dpi</w:t>
      </w:r>
      <w:proofErr w:type="spellEnd"/>
      <w:r w:rsidRPr="000D07EE">
        <w:rPr>
          <w:rFonts w:ascii="Times New Roman" w:eastAsia="MS Mincho" w:hAnsi="Times New Roman"/>
          <w:sz w:val="23"/>
          <w:szCs w:val="23"/>
        </w:rPr>
        <w:t xml:space="preserve">, формат </w:t>
      </w:r>
      <w:r w:rsidRPr="000D07EE">
        <w:rPr>
          <w:rFonts w:ascii="Times New Roman" w:eastAsia="MS Mincho" w:hAnsi="Times New Roman"/>
          <w:sz w:val="23"/>
          <w:szCs w:val="23"/>
          <w:lang w:val="de-DE"/>
        </w:rPr>
        <w:t>J</w:t>
      </w:r>
      <w:r w:rsidRPr="000D07EE">
        <w:rPr>
          <w:rFonts w:ascii="Times New Roman" w:eastAsia="MS Mincho" w:hAnsi="Times New Roman"/>
          <w:sz w:val="23"/>
          <w:szCs w:val="23"/>
        </w:rPr>
        <w:t>PEG, TIF;</w:t>
      </w:r>
    </w:p>
    <w:p w:rsidR="00181001" w:rsidRPr="000D07EE" w:rsidRDefault="00181001" w:rsidP="00181001">
      <w:pPr>
        <w:pStyle w:val="a3"/>
        <w:suppressAutoHyphens/>
        <w:ind w:right="23" w:firstLine="567"/>
        <w:jc w:val="both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 xml:space="preserve">- файл сохраняется с расширением </w:t>
      </w:r>
      <w:r w:rsidRPr="000D07EE">
        <w:rPr>
          <w:rFonts w:ascii="Times New Roman" w:eastAsia="MS Mincho" w:hAnsi="Times New Roman"/>
          <w:sz w:val="23"/>
          <w:szCs w:val="23"/>
          <w:lang w:val="en-US"/>
        </w:rPr>
        <w:t>RTF</w:t>
      </w:r>
      <w:r w:rsidRPr="000D07EE">
        <w:rPr>
          <w:rFonts w:ascii="Times New Roman" w:eastAsia="MS Mincho" w:hAnsi="Times New Roman"/>
          <w:sz w:val="23"/>
          <w:szCs w:val="23"/>
        </w:rPr>
        <w:t xml:space="preserve"> и обозначается в соответствии с требованиями п.3.2.3. и 3.3.3. Положения. Каждому докладу должен соответствовать отдельный файл.</w:t>
      </w:r>
    </w:p>
    <w:p w:rsidR="00181001" w:rsidRPr="00181001" w:rsidRDefault="00181001" w:rsidP="00181001">
      <w:pPr>
        <w:pStyle w:val="a3"/>
        <w:suppressAutoHyphens/>
        <w:ind w:right="23" w:firstLine="567"/>
        <w:jc w:val="both"/>
        <w:rPr>
          <w:rFonts w:ascii="Times New Roman" w:eastAsia="MS Mincho" w:hAnsi="Times New Roman"/>
          <w:i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>Структура статьи</w:t>
      </w:r>
      <w:r w:rsidRPr="000D07EE">
        <w:rPr>
          <w:rFonts w:ascii="Times New Roman" w:eastAsia="MS Mincho" w:hAnsi="Times New Roman"/>
          <w:b/>
          <w:sz w:val="23"/>
          <w:szCs w:val="23"/>
        </w:rPr>
        <w:t xml:space="preserve"> </w:t>
      </w:r>
      <w:r w:rsidRPr="00181001">
        <w:rPr>
          <w:rFonts w:ascii="Times New Roman" w:eastAsia="MS Mincho" w:hAnsi="Times New Roman"/>
          <w:i/>
          <w:sz w:val="23"/>
          <w:szCs w:val="23"/>
        </w:rPr>
        <w:t>(</w:t>
      </w:r>
      <w:r w:rsidRPr="00181001">
        <w:rPr>
          <w:rFonts w:ascii="Times New Roman" w:eastAsia="MS Mincho" w:hAnsi="Times New Roman"/>
          <w:i/>
          <w:sz w:val="23"/>
          <w:szCs w:val="23"/>
          <w:lang w:val="ru-RU"/>
        </w:rPr>
        <w:t xml:space="preserve">образец </w:t>
      </w:r>
      <w:r>
        <w:rPr>
          <w:rFonts w:ascii="Times New Roman" w:eastAsia="MS Mincho" w:hAnsi="Times New Roman"/>
          <w:i/>
          <w:sz w:val="23"/>
          <w:szCs w:val="23"/>
          <w:lang w:val="ru-RU"/>
        </w:rPr>
        <w:t xml:space="preserve">оформления статьи </w:t>
      </w:r>
      <w:bookmarkStart w:id="0" w:name="_GoBack"/>
      <w:bookmarkEnd w:id="0"/>
      <w:r w:rsidRPr="00181001">
        <w:rPr>
          <w:rFonts w:ascii="Times New Roman" w:eastAsia="MS Mincho" w:hAnsi="Times New Roman"/>
          <w:i/>
          <w:sz w:val="23"/>
          <w:szCs w:val="23"/>
          <w:lang w:val="ru-RU"/>
        </w:rPr>
        <w:t>см. ниже</w:t>
      </w:r>
      <w:r w:rsidRPr="00181001">
        <w:rPr>
          <w:rFonts w:ascii="Times New Roman" w:eastAsia="MS Mincho" w:hAnsi="Times New Roman"/>
          <w:i/>
          <w:sz w:val="23"/>
          <w:szCs w:val="23"/>
        </w:rPr>
        <w:t>)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>- УДК статьи (в левом верхнем углу);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>- название статьи;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hAnsi="Times New Roman"/>
          <w:sz w:val="23"/>
          <w:szCs w:val="23"/>
        </w:rPr>
        <w:t>- фамилия и инициалы автора (</w:t>
      </w:r>
      <w:proofErr w:type="spellStart"/>
      <w:r w:rsidRPr="000D07EE">
        <w:rPr>
          <w:rFonts w:ascii="Times New Roman" w:hAnsi="Times New Roman"/>
          <w:sz w:val="23"/>
          <w:szCs w:val="23"/>
        </w:rPr>
        <w:t>ов</w:t>
      </w:r>
      <w:proofErr w:type="spellEnd"/>
      <w:r w:rsidRPr="000D07EE">
        <w:rPr>
          <w:rFonts w:ascii="Times New Roman" w:hAnsi="Times New Roman"/>
          <w:sz w:val="23"/>
          <w:szCs w:val="23"/>
        </w:rPr>
        <w:t>), его статус (студент или аспирант, курс, факультет - в именительном падеже) или должность;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 xml:space="preserve">- </w:t>
      </w:r>
      <w:r w:rsidRPr="000D07EE">
        <w:rPr>
          <w:rFonts w:ascii="Times New Roman" w:hAnsi="Times New Roman"/>
          <w:sz w:val="23"/>
          <w:szCs w:val="23"/>
        </w:rPr>
        <w:t>сведения о научном руководителе: фамилия, инициалы, ученая степень и звание (при наличии), должность;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0D07EE">
        <w:rPr>
          <w:rFonts w:ascii="Times New Roman" w:hAnsi="Times New Roman"/>
          <w:sz w:val="23"/>
          <w:szCs w:val="23"/>
        </w:rPr>
        <w:t>- наименование организации (места учебы и/или работы);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0D07EE">
        <w:rPr>
          <w:rFonts w:ascii="Times New Roman" w:hAnsi="Times New Roman"/>
          <w:sz w:val="23"/>
          <w:szCs w:val="23"/>
        </w:rPr>
        <w:t>- e-</w:t>
      </w:r>
      <w:proofErr w:type="spellStart"/>
      <w:r w:rsidRPr="000D07EE">
        <w:rPr>
          <w:rFonts w:ascii="Times New Roman" w:hAnsi="Times New Roman"/>
          <w:sz w:val="23"/>
          <w:szCs w:val="23"/>
        </w:rPr>
        <w:t>mail</w:t>
      </w:r>
      <w:proofErr w:type="spellEnd"/>
      <w:r w:rsidRPr="000D07EE">
        <w:rPr>
          <w:rFonts w:ascii="Times New Roman" w:hAnsi="Times New Roman"/>
          <w:sz w:val="23"/>
          <w:szCs w:val="23"/>
        </w:rPr>
        <w:t xml:space="preserve"> автора/одного их авторов;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0D07EE">
        <w:rPr>
          <w:rFonts w:ascii="Times New Roman" w:hAnsi="Times New Roman"/>
          <w:sz w:val="23"/>
          <w:szCs w:val="23"/>
        </w:rPr>
        <w:t>- ключевые слова (3-5 тегов, отражающих содержание статьи);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0D07EE">
        <w:rPr>
          <w:rFonts w:ascii="Times New Roman" w:hAnsi="Times New Roman"/>
          <w:sz w:val="23"/>
          <w:szCs w:val="23"/>
        </w:rPr>
        <w:t>- аннотация (краткое описание содержания статьи, не более 500 знаков);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0D07EE">
        <w:rPr>
          <w:rFonts w:ascii="Times New Roman" w:hAnsi="Times New Roman"/>
          <w:sz w:val="23"/>
          <w:szCs w:val="23"/>
        </w:rPr>
        <w:t>- текст материалов доклада, оформленный в соответствии с п. 4.2.;</w:t>
      </w:r>
    </w:p>
    <w:p w:rsidR="00181001" w:rsidRPr="000D07EE" w:rsidRDefault="00181001" w:rsidP="00181001">
      <w:pPr>
        <w:pStyle w:val="a3"/>
        <w:tabs>
          <w:tab w:val="left" w:pos="142"/>
          <w:tab w:val="left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0D07EE">
        <w:rPr>
          <w:rFonts w:ascii="Times New Roman" w:hAnsi="Times New Roman"/>
          <w:sz w:val="23"/>
          <w:szCs w:val="23"/>
        </w:rPr>
        <w:t>- список использованных источников, оформленный в соответствии с ГОСТ 7.1 -2003.</w:t>
      </w:r>
    </w:p>
    <w:p w:rsidR="00181001" w:rsidRPr="000D07EE" w:rsidRDefault="00181001" w:rsidP="00181001">
      <w:pPr>
        <w:pStyle w:val="a3"/>
        <w:tabs>
          <w:tab w:val="left" w:pos="0"/>
          <w:tab w:val="left" w:pos="142"/>
        </w:tabs>
        <w:suppressAutoHyphens/>
        <w:ind w:firstLine="567"/>
        <w:jc w:val="both"/>
        <w:rPr>
          <w:rFonts w:ascii="Times New Roman" w:hAnsi="Times New Roman"/>
          <w:sz w:val="23"/>
          <w:szCs w:val="23"/>
        </w:rPr>
      </w:pPr>
      <w:r w:rsidRPr="000D07EE">
        <w:rPr>
          <w:rFonts w:ascii="Times New Roman" w:hAnsi="Times New Roman"/>
          <w:sz w:val="23"/>
          <w:szCs w:val="23"/>
        </w:rPr>
        <w:t>Данный список дублирует список библиографических ссылок (сносок), представленный в тексте статьи. Каждая ссылка должна содержать полную и достоверную информацию об источнике. Полная информация об источнике цитирования необходима для размещения в РИНЦ и других базах цитирования.</w:t>
      </w:r>
    </w:p>
    <w:p w:rsidR="00181001" w:rsidRDefault="00181001" w:rsidP="001810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62A94">
        <w:rPr>
          <w:rFonts w:ascii="Times New Roman" w:hAnsi="Times New Roman"/>
          <w:b/>
        </w:rPr>
        <w:t>Образец оформления статьи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УДК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t>пустая строка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РАДИАЦИОННАЯ СТОЙКОСТЬ ЛАКОВ, МОДИФИЦИРОВАННЫХ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62A94">
        <w:rPr>
          <w:rFonts w:ascii="Times New Roman" w:hAnsi="Times New Roman"/>
        </w:rPr>
        <w:t>НАНОЧАСТИЦАМИ ОКСИДА КРЕМНИЯ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t>пустая строка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 xml:space="preserve">Вострикова А.А., студент 1 курса </w:t>
      </w:r>
      <w:proofErr w:type="spellStart"/>
      <w:r w:rsidRPr="00462A94">
        <w:rPr>
          <w:rFonts w:ascii="Times New Roman" w:hAnsi="Times New Roman"/>
        </w:rPr>
        <w:t>бакалавриата</w:t>
      </w:r>
      <w:proofErr w:type="spellEnd"/>
      <w:r w:rsidRPr="00462A94">
        <w:rPr>
          <w:rFonts w:ascii="Times New Roman" w:hAnsi="Times New Roman"/>
        </w:rPr>
        <w:t>/магистратуры или аспирант 1 года обучения, инженерно-физический факультет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Научный руководитель: Нещименко В.В., д-р физ.-мат. наук, доцент, доцент кафедры физики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62A94">
        <w:rPr>
          <w:rFonts w:ascii="Times New Roman" w:hAnsi="Times New Roman"/>
        </w:rPr>
        <w:t xml:space="preserve">ФГБОУ </w:t>
      </w:r>
      <w:proofErr w:type="gramStart"/>
      <w:r w:rsidRPr="00462A94">
        <w:rPr>
          <w:rFonts w:ascii="Times New Roman" w:hAnsi="Times New Roman"/>
        </w:rPr>
        <w:t>ВО</w:t>
      </w:r>
      <w:proofErr w:type="gramEnd"/>
      <w:r w:rsidRPr="00462A94">
        <w:rPr>
          <w:rFonts w:ascii="Times New Roman" w:hAnsi="Times New Roman"/>
        </w:rPr>
        <w:t xml:space="preserve"> «Амурский государственный университет»</w:t>
      </w:r>
    </w:p>
    <w:p w:rsidR="00181001" w:rsidRPr="00462A94" w:rsidRDefault="00181001" w:rsidP="00181001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2"/>
          <w:szCs w:val="22"/>
        </w:rPr>
      </w:pPr>
      <w:r w:rsidRPr="00462A94">
        <w:rPr>
          <w:rFonts w:ascii="Times New Roman" w:eastAsia="MS Mincho" w:hAnsi="Times New Roman"/>
          <w:sz w:val="22"/>
          <w:szCs w:val="22"/>
        </w:rPr>
        <w:t>e-mail@mail.ru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t>пустая строка</w:t>
      </w:r>
    </w:p>
    <w:p w:rsidR="00181001" w:rsidRPr="00462A94" w:rsidRDefault="00181001" w:rsidP="00181001">
      <w:pPr>
        <w:pStyle w:val="a3"/>
        <w:tabs>
          <w:tab w:val="left" w:pos="709"/>
        </w:tabs>
        <w:spacing w:line="230" w:lineRule="auto"/>
        <w:ind w:right="21" w:firstLine="709"/>
        <w:jc w:val="both"/>
        <w:rPr>
          <w:rFonts w:ascii="Times New Roman" w:eastAsia="MS Mincho" w:hAnsi="Times New Roman"/>
          <w:sz w:val="22"/>
          <w:szCs w:val="22"/>
        </w:rPr>
      </w:pPr>
      <w:r w:rsidRPr="00462A94">
        <w:rPr>
          <w:rFonts w:ascii="Times New Roman" w:eastAsia="MS Mincho" w:hAnsi="Times New Roman"/>
          <w:sz w:val="22"/>
          <w:szCs w:val="22"/>
        </w:rPr>
        <w:t>Ключевые слова: 3-5 слов, отражающих содержание статьи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t>пустая строка</w:t>
      </w:r>
    </w:p>
    <w:p w:rsidR="00181001" w:rsidRPr="00462A94" w:rsidRDefault="00181001" w:rsidP="00181001">
      <w:pPr>
        <w:pStyle w:val="a3"/>
        <w:spacing w:line="230" w:lineRule="auto"/>
        <w:ind w:right="21" w:firstLine="709"/>
        <w:jc w:val="both"/>
        <w:rPr>
          <w:rFonts w:ascii="Times New Roman" w:eastAsia="MS Mincho" w:hAnsi="Times New Roman"/>
          <w:sz w:val="22"/>
          <w:szCs w:val="22"/>
        </w:rPr>
      </w:pPr>
      <w:r w:rsidRPr="00462A94">
        <w:rPr>
          <w:rFonts w:ascii="Times New Roman" w:eastAsia="MS Mincho" w:hAnsi="Times New Roman"/>
          <w:sz w:val="22"/>
          <w:szCs w:val="22"/>
        </w:rPr>
        <w:t>Аннотация: краткое описание содержания статьи, не более 500 знаков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t>пустая строка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 xml:space="preserve">Космические аппараты подвержены действию многих факторов, обусловливающих </w:t>
      </w:r>
      <w:r w:rsidRPr="00462A94">
        <w:rPr>
          <w:rFonts w:ascii="Times New Roman" w:hAnsi="Times New Roman"/>
        </w:rPr>
        <w:lastRenderedPageBreak/>
        <w:t>изменение свойств и рабочих характеристик материалов внешних поверхностей. … 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 xml:space="preserve">По разностным спектрам диффузного отражения </w:t>
      </w:r>
      <w:proofErr w:type="spellStart"/>
      <w:r w:rsidRPr="00462A94">
        <w:rPr>
          <w:rFonts w:ascii="Times New Roman" w:hAnsi="Times New Roman"/>
        </w:rPr>
        <w:t>Δρλ</w:t>
      </w:r>
      <w:proofErr w:type="spellEnd"/>
      <w:proofErr w:type="gramStart"/>
      <w:r w:rsidRPr="00462A94">
        <w:rPr>
          <w:rFonts w:ascii="Times New Roman" w:hAnsi="Times New Roman"/>
        </w:rPr>
        <w:t xml:space="preserve"> ,</w:t>
      </w:r>
      <w:proofErr w:type="gramEnd"/>
      <w:r w:rsidRPr="00462A94">
        <w:rPr>
          <w:rFonts w:ascii="Times New Roman" w:hAnsi="Times New Roman"/>
        </w:rPr>
        <w:t xml:space="preserve"> как показано на рисунке 1, полученным вычитанием спектров после облучения протонами [1] … . 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t>пустая строка перед рисунком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181001" w:rsidRPr="00462A94" w:rsidTr="00A169ED">
        <w:tc>
          <w:tcPr>
            <w:tcW w:w="492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356F239" wp14:editId="299737C5">
                  <wp:extent cx="2901950" cy="21628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1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94349D9" wp14:editId="1574D609">
                  <wp:extent cx="2695575" cy="2162810"/>
                  <wp:effectExtent l="0" t="0" r="952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6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001" w:rsidRPr="00462A94" w:rsidTr="00A169ED">
        <w:tc>
          <w:tcPr>
            <w:tcW w:w="492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462A94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492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462A94">
              <w:rPr>
                <w:rFonts w:ascii="Times New Roman" w:hAnsi="Times New Roman"/>
                <w:i/>
              </w:rPr>
              <w:t>б</w:t>
            </w:r>
          </w:p>
        </w:tc>
      </w:tr>
    </w:tbl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Рисунок 1 – Разностные спектры диффузного отражения (</w:t>
      </w:r>
      <w:proofErr w:type="spellStart"/>
      <w:r w:rsidRPr="00462A94">
        <w:rPr>
          <w:rFonts w:ascii="Times New Roman" w:hAnsi="Times New Roman"/>
        </w:rPr>
        <w:t>Δρ</w:t>
      </w:r>
      <w:proofErr w:type="spellEnd"/>
      <w:r w:rsidRPr="00462A94">
        <w:rPr>
          <w:rFonts w:ascii="Times New Roman" w:hAnsi="Times New Roman"/>
        </w:rPr>
        <w:t xml:space="preserve"> = ρ0 – </w:t>
      </w:r>
      <w:proofErr w:type="spellStart"/>
      <w:r w:rsidRPr="00462A94">
        <w:rPr>
          <w:rFonts w:ascii="Times New Roman" w:hAnsi="Times New Roman"/>
        </w:rPr>
        <w:t>ρФ</w:t>
      </w:r>
      <w:proofErr w:type="spellEnd"/>
      <w:r w:rsidRPr="00462A94">
        <w:rPr>
          <w:rFonts w:ascii="Times New Roman" w:hAnsi="Times New Roman"/>
        </w:rPr>
        <w:t>)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62A94">
        <w:rPr>
          <w:rFonts w:ascii="Times New Roman" w:hAnsi="Times New Roman"/>
        </w:rPr>
        <w:t>кремнийорганического лака (а), лака на основе эпоксидных смол (б)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462A94">
        <w:rPr>
          <w:rFonts w:ascii="Times New Roman" w:hAnsi="Times New Roman"/>
        </w:rPr>
        <w:t>– название рисунка печатается по центру, с заглавной буквы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t>пустая строка после рисунка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… выражено следующим соотношением:</w:t>
      </w:r>
    </w:p>
    <w:p w:rsidR="00181001" w:rsidRPr="00462A94" w:rsidRDefault="00181001" w:rsidP="00181001">
      <w:pPr>
        <w:tabs>
          <w:tab w:val="left" w:pos="921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object w:dxaOrig="35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33.75pt" o:ole="">
            <v:imagedata r:id="rId7" o:title=""/>
          </v:shape>
          <o:OLEObject Type="Embed" ProgID="Equation.3" ShapeID="_x0000_i1025" DrawAspect="Content" ObjectID="_1644741103" r:id="rId8"/>
        </w:object>
      </w:r>
      <w:r w:rsidRPr="00462A94">
        <w:rPr>
          <w:rFonts w:ascii="Times New Roman" w:hAnsi="Times New Roman"/>
        </w:rPr>
        <w:t xml:space="preserve">  </w:t>
      </w:r>
      <w:r w:rsidRPr="00462A94">
        <w:rPr>
          <w:rFonts w:ascii="Times New Roman" w:hAnsi="Times New Roman"/>
        </w:rPr>
        <w:object w:dxaOrig="780" w:dyaOrig="380">
          <v:shape id="_x0000_i1026" type="#_x0000_t75" style="width:38.25pt;height:19.5pt" o:ole="">
            <v:imagedata r:id="rId9" o:title=""/>
          </v:shape>
          <o:OLEObject Type="Embed" ProgID="Equation.3" ShapeID="_x0000_i1026" DrawAspect="Content" ObjectID="_1644741104" r:id="rId10"/>
        </w:object>
      </w:r>
      <w:r w:rsidRPr="00462A94">
        <w:rPr>
          <w:rFonts w:ascii="Times New Roman" w:hAnsi="Times New Roman"/>
        </w:rPr>
        <w:t xml:space="preserve">  </w:t>
      </w:r>
      <w:r w:rsidRPr="00462A94">
        <w:rPr>
          <w:rFonts w:ascii="Times New Roman" w:hAnsi="Times New Roman"/>
        </w:rPr>
        <w:object w:dxaOrig="2060" w:dyaOrig="660">
          <v:shape id="_x0000_i1027" type="#_x0000_t75" style="width:102pt;height:33.75pt" o:ole="">
            <v:imagedata r:id="rId11" o:title=""/>
          </v:shape>
          <o:OLEObject Type="Embed" ProgID="Equation.3" ShapeID="_x0000_i1027" DrawAspect="Content" ObjectID="_1644741105" r:id="rId12"/>
        </w:object>
      </w:r>
      <w:r w:rsidRPr="00462A94">
        <w:rPr>
          <w:rFonts w:ascii="Times New Roman" w:hAnsi="Times New Roman"/>
        </w:rPr>
        <w:t>,                            (1)</w:t>
      </w:r>
    </w:p>
    <w:p w:rsidR="00181001" w:rsidRPr="00462A94" w:rsidRDefault="00181001" w:rsidP="00181001">
      <w:pPr>
        <w:tabs>
          <w:tab w:val="left" w:pos="87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 xml:space="preserve">где </w:t>
      </w:r>
      <w:r w:rsidRPr="00462A94">
        <w:rPr>
          <w:rFonts w:ascii="Times New Roman" w:hAnsi="Times New Roman"/>
        </w:rPr>
        <w:object w:dxaOrig="540" w:dyaOrig="320">
          <v:shape id="_x0000_i1028" type="#_x0000_t75" style="width:27pt;height:15.75pt" o:ole="">
            <v:imagedata r:id="rId13" o:title=""/>
          </v:shape>
          <o:OLEObject Type="Embed" ProgID="Equation.3" ShapeID="_x0000_i1028" DrawAspect="Content" ObjectID="_1644741106" r:id="rId14"/>
        </w:object>
      </w:r>
      <w:r w:rsidRPr="00462A94">
        <w:rPr>
          <w:rFonts w:ascii="Times New Roman" w:hAnsi="Times New Roman"/>
        </w:rPr>
        <w:t xml:space="preserve"> – гамма-функция Эйлера; </w:t>
      </w:r>
      <w:r w:rsidRPr="00462A94">
        <w:rPr>
          <w:rFonts w:ascii="Times New Roman" w:hAnsi="Times New Roman"/>
        </w:rPr>
        <w:object w:dxaOrig="2340" w:dyaOrig="400">
          <v:shape id="_x0000_i1029" type="#_x0000_t75" style="width:117pt;height:19.5pt" o:ole="">
            <v:imagedata r:id="rId15" o:title=""/>
          </v:shape>
          <o:OLEObject Type="Embed" ProgID="Equation.3" ShapeID="_x0000_i1029" DrawAspect="Content" ObjectID="_1644741107" r:id="rId16"/>
        </w:object>
      </w:r>
      <w:r w:rsidRPr="00462A94">
        <w:rPr>
          <w:rFonts w:ascii="Times New Roman" w:hAnsi="Times New Roman"/>
        </w:rPr>
        <w:t xml:space="preserve"> – заданная сетка.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 xml:space="preserve">В настройках редактора формул установить основной размер шрифта – 12. </w:t>
      </w:r>
      <w:proofErr w:type="gramStart"/>
      <w:r w:rsidRPr="00462A94">
        <w:rPr>
          <w:rFonts w:ascii="Times New Roman" w:hAnsi="Times New Roman"/>
        </w:rPr>
        <w:t>Формулы печатаются с абзацного отступа, нумерация формул  – в круглых скобках, номер – в позиции табуляции – 16,25 см. Шрифты: латинский буквы – курсив, греческие – прямой, функция, вектор – прямой, жирный.</w:t>
      </w:r>
      <w:proofErr w:type="gramEnd"/>
      <w:r w:rsidRPr="00462A94">
        <w:rPr>
          <w:rFonts w:ascii="Times New Roman" w:hAnsi="Times New Roman"/>
        </w:rPr>
        <w:t xml:space="preserve"> Использовать ссылку на формулу в следующем виде – согласно по выражению (1), …. 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Характеристики … отражены в таблице 1.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t>пустая строка – перед таблицей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Таблица 1 – Название таблицы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975"/>
        <w:gridCol w:w="2397"/>
        <w:gridCol w:w="2397"/>
      </w:tblGrid>
      <w:tr w:rsidR="00181001" w:rsidRPr="00462A94" w:rsidTr="00A169ED">
        <w:tc>
          <w:tcPr>
            <w:tcW w:w="694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62A94">
              <w:rPr>
                <w:rFonts w:ascii="Times New Roman" w:hAnsi="Times New Roman"/>
              </w:rPr>
              <w:t>№</w:t>
            </w:r>
          </w:p>
        </w:tc>
        <w:tc>
          <w:tcPr>
            <w:tcW w:w="3975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62A94">
              <w:rPr>
                <w:rFonts w:ascii="Times New Roman" w:hAnsi="Times New Roman"/>
              </w:rPr>
              <w:t>Текст</w:t>
            </w:r>
          </w:p>
        </w:tc>
        <w:tc>
          <w:tcPr>
            <w:tcW w:w="239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62A94">
              <w:rPr>
                <w:rFonts w:ascii="Times New Roman" w:hAnsi="Times New Roman"/>
              </w:rPr>
              <w:t>Текст</w:t>
            </w:r>
          </w:p>
        </w:tc>
        <w:tc>
          <w:tcPr>
            <w:tcW w:w="239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62A94">
              <w:rPr>
                <w:rFonts w:ascii="Times New Roman" w:hAnsi="Times New Roman"/>
              </w:rPr>
              <w:t>Текст</w:t>
            </w:r>
          </w:p>
        </w:tc>
      </w:tr>
      <w:tr w:rsidR="00181001" w:rsidRPr="00462A94" w:rsidTr="00A169ED">
        <w:tc>
          <w:tcPr>
            <w:tcW w:w="694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5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81001" w:rsidRPr="00462A94" w:rsidTr="00A169ED">
        <w:tc>
          <w:tcPr>
            <w:tcW w:w="694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5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1001" w:rsidRPr="00462A94" w:rsidRDefault="00181001" w:rsidP="001810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lastRenderedPageBreak/>
        <w:t>пустая строка – после таблицы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Запрещается использовать «маркированный список», список оформляется следующим образом: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текст, абзацный отступ, начало – в позиции табуляции 1,25 см.;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текст.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Текст доклада (доклад в обязательном порядке должен занимать полные 1 или 2 страницы)…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 xml:space="preserve">Таким образом, экспериментально определены технологические режимы обработки связующих – лаков </w:t>
      </w:r>
      <w:proofErr w:type="spellStart"/>
      <w:r w:rsidRPr="00462A94">
        <w:rPr>
          <w:rFonts w:ascii="Times New Roman" w:hAnsi="Times New Roman"/>
        </w:rPr>
        <w:t>нанопорошками</w:t>
      </w:r>
      <w:proofErr w:type="spellEnd"/>
      <w:r w:rsidRPr="00462A94">
        <w:rPr>
          <w:rFonts w:ascii="Times New Roman" w:hAnsi="Times New Roman"/>
        </w:rPr>
        <w:t xml:space="preserve"> оксида кремния, позволяющие получить лаки с увеличенной стойкостью оптических свойств к действию ускоренных протонов.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>После текста доклада – пустая строка, после которой печатается список использованной литературы (с абзацного отступа, выравнивание по ширине).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color w:val="A6A6A6"/>
        </w:rPr>
      </w:pPr>
      <w:r w:rsidRPr="00462A94">
        <w:rPr>
          <w:rFonts w:ascii="Times New Roman" w:eastAsia="Times New Roman" w:hAnsi="Times New Roman"/>
          <w:i/>
          <w:color w:val="A6A6A6"/>
        </w:rPr>
        <w:t>пустая строка…</w:t>
      </w:r>
    </w:p>
    <w:p w:rsidR="00181001" w:rsidRPr="00462A94" w:rsidRDefault="00181001" w:rsidP="00181001">
      <w:pPr>
        <w:pStyle w:val="a3"/>
        <w:spacing w:line="230" w:lineRule="auto"/>
        <w:ind w:right="21" w:firstLine="708"/>
        <w:jc w:val="both"/>
        <w:rPr>
          <w:rFonts w:ascii="Times New Roman" w:eastAsia="MS Mincho" w:hAnsi="Times New Roman"/>
          <w:sz w:val="22"/>
          <w:szCs w:val="22"/>
        </w:rPr>
      </w:pPr>
      <w:r w:rsidRPr="00462A94">
        <w:rPr>
          <w:rFonts w:ascii="Times New Roman" w:eastAsia="MS Mincho" w:hAnsi="Times New Roman"/>
          <w:sz w:val="22"/>
          <w:szCs w:val="22"/>
        </w:rPr>
        <w:t>Библиографический список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 xml:space="preserve">1. Ибрагимов Ж.Д. О дефектообразовании в кристаллах кварца при воздействии электронов с разными подпороговыми энергиями и плотностями тока пучка / Ж.Д. Ибрагимов, И.С. </w:t>
      </w:r>
      <w:proofErr w:type="spellStart"/>
      <w:r w:rsidRPr="00462A94">
        <w:rPr>
          <w:rFonts w:ascii="Times New Roman" w:hAnsi="Times New Roman"/>
        </w:rPr>
        <w:t>Нуритдинов</w:t>
      </w:r>
      <w:proofErr w:type="spellEnd"/>
      <w:r w:rsidRPr="00462A94">
        <w:rPr>
          <w:rFonts w:ascii="Times New Roman" w:hAnsi="Times New Roman"/>
        </w:rPr>
        <w:t xml:space="preserve">, Р.Т. </w:t>
      </w:r>
      <w:proofErr w:type="spellStart"/>
      <w:r w:rsidRPr="00462A94">
        <w:rPr>
          <w:rFonts w:ascii="Times New Roman" w:hAnsi="Times New Roman"/>
        </w:rPr>
        <w:t>Турдиев</w:t>
      </w:r>
      <w:proofErr w:type="spellEnd"/>
      <w:r w:rsidRPr="00462A94">
        <w:rPr>
          <w:rFonts w:ascii="Times New Roman" w:hAnsi="Times New Roman"/>
        </w:rPr>
        <w:t xml:space="preserve"> // Перспективные материалы. – 2007. – № 4. – С. 16-23.</w:t>
      </w:r>
    </w:p>
    <w:p w:rsidR="00181001" w:rsidRPr="00462A94" w:rsidRDefault="00181001" w:rsidP="001810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462A94">
        <w:rPr>
          <w:rFonts w:ascii="Times New Roman" w:hAnsi="Times New Roman"/>
        </w:rPr>
        <w:t xml:space="preserve">2. Михайлов М.М. Прогнозирование оптической деградации терморегулирующих покрытий космических аппаратов / М.М. Михайлов. – Новосибирск: Изд-во РАН «Наука», 1999. – 192 с. </w:t>
      </w:r>
    </w:p>
    <w:p w:rsidR="007C372A" w:rsidRPr="00181001" w:rsidRDefault="007C372A"/>
    <w:sectPr w:rsidR="007C372A" w:rsidRPr="001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1"/>
    <w:rsid w:val="00181001"/>
    <w:rsid w:val="007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81001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181001"/>
    <w:rPr>
      <w:rFonts w:ascii="Courier New" w:eastAsia="SimSu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81001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181001"/>
    <w:rPr>
      <w:rFonts w:ascii="Courier New" w:eastAsia="SimSu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1</cp:revision>
  <dcterms:created xsi:type="dcterms:W3CDTF">2020-03-03T02:38:00Z</dcterms:created>
  <dcterms:modified xsi:type="dcterms:W3CDTF">2020-03-03T02:45:00Z</dcterms:modified>
</cp:coreProperties>
</file>